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7C6" w:rsidRDefault="007177C6" w:rsidP="007177C6">
      <w:pPr>
        <w:pStyle w:val="1"/>
        <w:ind w:left="360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 </w:t>
      </w:r>
    </w:p>
    <w:p w:rsidR="007177C6" w:rsidRPr="00385D51" w:rsidRDefault="007177C6" w:rsidP="007177C6">
      <w:pPr>
        <w:ind w:left="36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решением Общественной палаты </w:t>
      </w:r>
    </w:p>
    <w:p w:rsidR="007177C6" w:rsidRDefault="007177C6" w:rsidP="007177C6">
      <w:pPr>
        <w:pStyle w:val="1"/>
        <w:ind w:left="360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Борисоглебского городского округа</w:t>
      </w:r>
    </w:p>
    <w:p w:rsidR="007177C6" w:rsidRPr="00D221F6" w:rsidRDefault="007177C6" w:rsidP="007177C6">
      <w:pPr>
        <w:pStyle w:val="1"/>
        <w:ind w:left="3600" w:firstLine="0"/>
        <w:jc w:val="center"/>
        <w:rPr>
          <w:bCs/>
          <w:sz w:val="28"/>
          <w:szCs w:val="28"/>
        </w:rPr>
      </w:pPr>
      <w:r w:rsidRPr="00D221F6">
        <w:rPr>
          <w:bCs/>
          <w:sz w:val="28"/>
          <w:szCs w:val="28"/>
        </w:rPr>
        <w:t>Воронежской области</w:t>
      </w:r>
    </w:p>
    <w:p w:rsidR="007177C6" w:rsidRPr="00D221F6" w:rsidRDefault="007177C6" w:rsidP="007177C6">
      <w:pPr>
        <w:pStyle w:val="1"/>
        <w:ind w:left="3600" w:firstLine="0"/>
        <w:jc w:val="center"/>
        <w:rPr>
          <w:bCs/>
          <w:sz w:val="28"/>
          <w:szCs w:val="28"/>
        </w:rPr>
      </w:pPr>
      <w:r w:rsidRPr="00D221F6">
        <w:rPr>
          <w:sz w:val="28"/>
          <w:szCs w:val="28"/>
        </w:rPr>
        <w:t xml:space="preserve">протокол пленарного заседания   </w:t>
      </w:r>
    </w:p>
    <w:p w:rsidR="007177C6" w:rsidRPr="00414B07" w:rsidRDefault="007177C6" w:rsidP="007177C6">
      <w:pPr>
        <w:rPr>
          <w:sz w:val="28"/>
          <w:szCs w:val="28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tab/>
      </w:r>
      <w:r w:rsidRPr="00E27324">
        <w:tab/>
      </w:r>
      <w:r w:rsidRPr="00414B0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7455FA">
        <w:rPr>
          <w:sz w:val="28"/>
          <w:szCs w:val="28"/>
          <w:u w:val="single"/>
        </w:rPr>
        <w:t>«</w:t>
      </w:r>
      <w:r w:rsidR="007455FA" w:rsidRPr="007455FA">
        <w:rPr>
          <w:sz w:val="28"/>
          <w:szCs w:val="28"/>
          <w:u w:val="single"/>
        </w:rPr>
        <w:t>17</w:t>
      </w:r>
      <w:r w:rsidRPr="007455FA">
        <w:rPr>
          <w:sz w:val="28"/>
          <w:szCs w:val="28"/>
          <w:u w:val="single"/>
        </w:rPr>
        <w:t xml:space="preserve">» </w:t>
      </w:r>
      <w:r w:rsidR="007455FA" w:rsidRPr="007455FA">
        <w:rPr>
          <w:sz w:val="28"/>
          <w:szCs w:val="28"/>
          <w:u w:val="single"/>
        </w:rPr>
        <w:t xml:space="preserve">     02     </w:t>
      </w:r>
      <w:r w:rsidRPr="007455FA">
        <w:rPr>
          <w:sz w:val="28"/>
          <w:szCs w:val="28"/>
          <w:u w:val="single"/>
        </w:rPr>
        <w:t xml:space="preserve"> </w:t>
      </w:r>
      <w:r w:rsidRPr="00414B07">
        <w:rPr>
          <w:sz w:val="28"/>
          <w:szCs w:val="28"/>
        </w:rPr>
        <w:t>202</w:t>
      </w:r>
      <w:r w:rsidR="007455FA">
        <w:rPr>
          <w:sz w:val="28"/>
          <w:szCs w:val="28"/>
        </w:rPr>
        <w:t xml:space="preserve">1 </w:t>
      </w:r>
      <w:r w:rsidRPr="00414B07">
        <w:rPr>
          <w:sz w:val="28"/>
          <w:szCs w:val="28"/>
        </w:rPr>
        <w:t>№</w:t>
      </w:r>
      <w:r w:rsidR="007455FA">
        <w:rPr>
          <w:sz w:val="28"/>
          <w:szCs w:val="28"/>
        </w:rPr>
        <w:t xml:space="preserve">  2</w:t>
      </w:r>
    </w:p>
    <w:p w:rsidR="007177C6" w:rsidRDefault="007177C6" w:rsidP="007177C6">
      <w:pPr>
        <w:jc w:val="center"/>
        <w:rPr>
          <w:b/>
          <w:sz w:val="28"/>
          <w:szCs w:val="28"/>
        </w:rPr>
      </w:pPr>
    </w:p>
    <w:p w:rsidR="007177C6" w:rsidRPr="00414B07" w:rsidRDefault="007177C6" w:rsidP="007177C6">
      <w:pPr>
        <w:jc w:val="center"/>
        <w:rPr>
          <w:b/>
          <w:sz w:val="28"/>
          <w:szCs w:val="28"/>
        </w:rPr>
      </w:pPr>
    </w:p>
    <w:p w:rsidR="007177C6" w:rsidRPr="00CF69BA" w:rsidRDefault="007177C6" w:rsidP="007177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</w:t>
      </w:r>
    </w:p>
    <w:p w:rsidR="007177C6" w:rsidRDefault="007177C6" w:rsidP="007177C6">
      <w:pPr>
        <w:jc w:val="center"/>
        <w:rPr>
          <w:b/>
          <w:sz w:val="28"/>
          <w:szCs w:val="28"/>
        </w:rPr>
      </w:pPr>
      <w:r w:rsidRPr="00CF69BA">
        <w:rPr>
          <w:b/>
          <w:sz w:val="28"/>
          <w:szCs w:val="28"/>
        </w:rPr>
        <w:t xml:space="preserve">об антимонопольном </w:t>
      </w:r>
      <w:proofErr w:type="spellStart"/>
      <w:r w:rsidRPr="00CF69BA">
        <w:rPr>
          <w:b/>
          <w:sz w:val="28"/>
          <w:szCs w:val="28"/>
        </w:rPr>
        <w:t>комплаенсе</w:t>
      </w:r>
      <w:proofErr w:type="spellEnd"/>
    </w:p>
    <w:p w:rsidR="007177C6" w:rsidRDefault="007177C6" w:rsidP="007177C6">
      <w:pPr>
        <w:jc w:val="center"/>
        <w:rPr>
          <w:b/>
          <w:sz w:val="28"/>
          <w:szCs w:val="28"/>
        </w:rPr>
      </w:pPr>
    </w:p>
    <w:p w:rsidR="007177C6" w:rsidRDefault="007177C6" w:rsidP="007177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</w:t>
      </w:r>
      <w:r w:rsidRPr="004403EA">
        <w:rPr>
          <w:sz w:val="28"/>
          <w:szCs w:val="28"/>
        </w:rPr>
        <w:t xml:space="preserve">нтимонопольный </w:t>
      </w:r>
      <w:proofErr w:type="spellStart"/>
      <w:r w:rsidRPr="004403EA">
        <w:rPr>
          <w:sz w:val="28"/>
          <w:szCs w:val="28"/>
        </w:rPr>
        <w:t>комплаенс</w:t>
      </w:r>
      <w:proofErr w:type="spellEnd"/>
      <w:r w:rsidRPr="004403E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403EA">
        <w:rPr>
          <w:sz w:val="28"/>
          <w:szCs w:val="28"/>
        </w:rPr>
        <w:t xml:space="preserve">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</w:t>
      </w:r>
      <w:r>
        <w:rPr>
          <w:sz w:val="28"/>
          <w:szCs w:val="28"/>
        </w:rPr>
        <w:t>.</w:t>
      </w:r>
    </w:p>
    <w:p w:rsidR="007177C6" w:rsidRDefault="007177C6" w:rsidP="007177C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</w:t>
      </w:r>
      <w:r w:rsidRPr="000F642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распоряжения правительства Воронежской области от 07.02.2019 № 102-р администрацией Борисоглебского городского округа Воронежской области   в 2019 году осуществлялись основные мероприятия по внедрению системы внутреннего обеспечения соответствия требованиям антимонопольного законодательства, в 2020 и 2021 годах данная работа была продолжена.</w:t>
      </w:r>
    </w:p>
    <w:p w:rsidR="007177C6" w:rsidRDefault="007177C6" w:rsidP="007177C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городского округа от 15.05.2019 № 1325 утверждено Положение об организации системы внутреннего обеспечения соответствия требованиям антимонопольного законодательства (</w:t>
      </w:r>
      <w:proofErr w:type="gramStart"/>
      <w:r>
        <w:rPr>
          <w:sz w:val="28"/>
          <w:szCs w:val="28"/>
        </w:rPr>
        <w:t>антимонопольный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комплаенс</w:t>
      </w:r>
      <w:proofErr w:type="spellEnd"/>
      <w:r>
        <w:rPr>
          <w:sz w:val="28"/>
          <w:szCs w:val="28"/>
        </w:rPr>
        <w:t>).</w:t>
      </w:r>
    </w:p>
    <w:p w:rsidR="007177C6" w:rsidRDefault="007177C6" w:rsidP="007177C6">
      <w:pPr>
        <w:suppressAutoHyphens/>
        <w:ind w:firstLine="709"/>
        <w:jc w:val="both"/>
        <w:rPr>
          <w:bCs/>
          <w:sz w:val="28"/>
          <w:szCs w:val="28"/>
        </w:rPr>
      </w:pPr>
      <w:r w:rsidRPr="008E0178">
        <w:rPr>
          <w:sz w:val="28"/>
          <w:szCs w:val="28"/>
        </w:rPr>
        <w:t>Функции уполномоченного подразделения, связанные с организацией и функционированием антимонопол</w:t>
      </w:r>
      <w:r>
        <w:rPr>
          <w:sz w:val="28"/>
          <w:szCs w:val="28"/>
        </w:rPr>
        <w:t xml:space="preserve">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, распределены</w:t>
      </w:r>
      <w:r w:rsidRPr="008E0178">
        <w:rPr>
          <w:sz w:val="28"/>
          <w:szCs w:val="28"/>
        </w:rPr>
        <w:t xml:space="preserve"> между структурными подразделениями </w:t>
      </w:r>
      <w:r w:rsidRPr="003019B7">
        <w:rPr>
          <w:sz w:val="28"/>
          <w:szCs w:val="28"/>
        </w:rPr>
        <w:t xml:space="preserve">администрации БГО </w:t>
      </w:r>
      <w:proofErr w:type="gramStart"/>
      <w:r w:rsidRPr="003019B7">
        <w:rPr>
          <w:sz w:val="28"/>
          <w:szCs w:val="28"/>
        </w:rPr>
        <w:t>ВО</w:t>
      </w:r>
      <w:proofErr w:type="gramEnd"/>
      <w:r w:rsidRPr="008E0178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отделом правовой работы, </w:t>
      </w:r>
      <w:r w:rsidRPr="008E0178">
        <w:rPr>
          <w:bCs/>
          <w:sz w:val="28"/>
          <w:szCs w:val="28"/>
        </w:rPr>
        <w:t xml:space="preserve">отделом </w:t>
      </w:r>
      <w:r>
        <w:rPr>
          <w:bCs/>
          <w:sz w:val="28"/>
          <w:szCs w:val="28"/>
        </w:rPr>
        <w:t xml:space="preserve">организационной работы и муниципальной службы, </w:t>
      </w:r>
      <w:r w:rsidRPr="0009228B">
        <w:rPr>
          <w:bCs/>
          <w:sz w:val="28"/>
          <w:szCs w:val="28"/>
        </w:rPr>
        <w:t>иными структурными подразделениями в соответствии с  Положением</w:t>
      </w:r>
      <w:r>
        <w:rPr>
          <w:bCs/>
          <w:sz w:val="28"/>
          <w:szCs w:val="28"/>
        </w:rPr>
        <w:t>.</w:t>
      </w:r>
    </w:p>
    <w:p w:rsidR="007177C6" w:rsidRDefault="007177C6" w:rsidP="007177C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Коллегиальным</w:t>
      </w:r>
      <w:r w:rsidRPr="00296834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ом</w:t>
      </w:r>
      <w:r w:rsidRPr="0029683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296834">
        <w:rPr>
          <w:sz w:val="28"/>
          <w:szCs w:val="28"/>
        </w:rPr>
        <w:t xml:space="preserve">совещательный орган, осуществляющий оценку эффективности антимонопольного </w:t>
      </w:r>
      <w:proofErr w:type="spellStart"/>
      <w:r w:rsidRPr="00296834"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) определена Общественная палата Борисоглебского городского округа Воронежской области.</w:t>
      </w:r>
    </w:p>
    <w:p w:rsidR="007177C6" w:rsidRDefault="007177C6" w:rsidP="007177C6">
      <w:pPr>
        <w:suppressAutoHyphens/>
        <w:ind w:firstLine="709"/>
        <w:jc w:val="both"/>
        <w:rPr>
          <w:sz w:val="28"/>
          <w:szCs w:val="28"/>
        </w:rPr>
      </w:pPr>
    </w:p>
    <w:p w:rsidR="007177C6" w:rsidRDefault="007177C6" w:rsidP="007177C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организацией системы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ознакомлены под роспись все сотрудники администрации городского округа, как муниципальные, так и не муниципальные служащие, в том числе  вновь принимаемые на работу (100</w:t>
      </w:r>
      <w:r w:rsidR="00245E56">
        <w:rPr>
          <w:sz w:val="28"/>
          <w:szCs w:val="28"/>
        </w:rPr>
        <w:t xml:space="preserve">% от </w:t>
      </w:r>
      <w:proofErr w:type="gramStart"/>
      <w:r w:rsidR="00245E56">
        <w:rPr>
          <w:sz w:val="28"/>
          <w:szCs w:val="28"/>
        </w:rPr>
        <w:t>замещающих</w:t>
      </w:r>
      <w:proofErr w:type="gramEnd"/>
      <w:r w:rsidR="00245E56">
        <w:rPr>
          <w:sz w:val="28"/>
          <w:szCs w:val="28"/>
        </w:rPr>
        <w:t xml:space="preserve"> должности в 2020</w:t>
      </w:r>
      <w:r>
        <w:rPr>
          <w:sz w:val="28"/>
          <w:szCs w:val="28"/>
        </w:rPr>
        <w:t xml:space="preserve"> году).</w:t>
      </w:r>
    </w:p>
    <w:p w:rsidR="007177C6" w:rsidRDefault="007177C6" w:rsidP="007177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476E5F">
        <w:rPr>
          <w:sz w:val="28"/>
          <w:szCs w:val="28"/>
        </w:rPr>
        <w:t xml:space="preserve">Для решения задач антимонопольного </w:t>
      </w:r>
      <w:proofErr w:type="spellStart"/>
      <w:r w:rsidRPr="00476E5F">
        <w:rPr>
          <w:sz w:val="28"/>
          <w:szCs w:val="28"/>
        </w:rPr>
        <w:t>комплаенса</w:t>
      </w:r>
      <w:proofErr w:type="spellEnd"/>
      <w:r w:rsidR="00245E56">
        <w:rPr>
          <w:sz w:val="28"/>
          <w:szCs w:val="28"/>
        </w:rPr>
        <w:t xml:space="preserve"> 23.01.2020</w:t>
      </w:r>
      <w:r>
        <w:rPr>
          <w:sz w:val="28"/>
          <w:szCs w:val="28"/>
        </w:rPr>
        <w:t xml:space="preserve"> утверждены:</w:t>
      </w:r>
      <w:proofErr w:type="gramEnd"/>
    </w:p>
    <w:p w:rsidR="007177C6" w:rsidRDefault="007177C6" w:rsidP="007177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карта </w:t>
      </w:r>
      <w:proofErr w:type="spellStart"/>
      <w:r>
        <w:rPr>
          <w:sz w:val="28"/>
          <w:szCs w:val="28"/>
        </w:rPr>
        <w:t>комплаенс-рисков</w:t>
      </w:r>
      <w:proofErr w:type="spellEnd"/>
      <w:r>
        <w:rPr>
          <w:sz w:val="28"/>
          <w:szCs w:val="28"/>
        </w:rPr>
        <w:t>;</w:t>
      </w:r>
    </w:p>
    <w:p w:rsidR="007177C6" w:rsidRDefault="007177C6" w:rsidP="007177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план мероприятий («дорожная карта») по снижению </w:t>
      </w:r>
      <w:proofErr w:type="spellStart"/>
      <w:r>
        <w:rPr>
          <w:sz w:val="28"/>
          <w:szCs w:val="28"/>
        </w:rPr>
        <w:t>комплаенс-рисков</w:t>
      </w:r>
      <w:proofErr w:type="spellEnd"/>
      <w:r>
        <w:rPr>
          <w:sz w:val="28"/>
          <w:szCs w:val="28"/>
        </w:rPr>
        <w:t>.</w:t>
      </w:r>
    </w:p>
    <w:p w:rsidR="007177C6" w:rsidRDefault="007177C6" w:rsidP="007177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ключевые показатели  эффективности </w:t>
      </w:r>
      <w:proofErr w:type="gramStart"/>
      <w:r>
        <w:rPr>
          <w:sz w:val="28"/>
          <w:szCs w:val="28"/>
        </w:rPr>
        <w:t>антимонопольного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на 2021 год.</w:t>
      </w:r>
    </w:p>
    <w:p w:rsidR="007177C6" w:rsidRDefault="007177C6" w:rsidP="007177C6">
      <w:pPr>
        <w:suppressAutoHyphens/>
        <w:ind w:firstLine="709"/>
        <w:jc w:val="both"/>
        <w:rPr>
          <w:sz w:val="28"/>
          <w:szCs w:val="28"/>
        </w:rPr>
      </w:pPr>
    </w:p>
    <w:p w:rsidR="007177C6" w:rsidRDefault="007177C6" w:rsidP="007177C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целях выявления рисков нарушения антимонопольного законодательства проведены следующие мероприятия:</w:t>
      </w:r>
    </w:p>
    <w:p w:rsidR="007177C6" w:rsidRDefault="007177C6" w:rsidP="007177C6">
      <w:pPr>
        <w:suppressAutoHyphens/>
        <w:ind w:firstLine="709"/>
        <w:jc w:val="both"/>
        <w:rPr>
          <w:sz w:val="28"/>
          <w:szCs w:val="28"/>
        </w:rPr>
      </w:pPr>
    </w:p>
    <w:p w:rsidR="007177C6" w:rsidRDefault="007177C6" w:rsidP="007177C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 На основании постановления админ</w:t>
      </w:r>
      <w:r w:rsidR="00245E56">
        <w:rPr>
          <w:sz w:val="28"/>
          <w:szCs w:val="28"/>
        </w:rPr>
        <w:t>истрации городского округа от 13.10.2020 № 2440</w:t>
      </w:r>
      <w:r>
        <w:rPr>
          <w:sz w:val="28"/>
          <w:szCs w:val="28"/>
        </w:rPr>
        <w:t xml:space="preserve"> сформированный перечень действующих нормативных </w:t>
      </w:r>
      <w:r w:rsidR="00245E56">
        <w:rPr>
          <w:sz w:val="28"/>
          <w:szCs w:val="28"/>
        </w:rPr>
        <w:t>правовых актов,  принятых в 2019 году, в количестве 168</w:t>
      </w:r>
      <w:r>
        <w:rPr>
          <w:sz w:val="28"/>
          <w:szCs w:val="28"/>
        </w:rPr>
        <w:t xml:space="preserve"> НПА был размещен на официальном сайте администрации в специальном разделе, посвященном антимонопольному </w:t>
      </w:r>
      <w:proofErr w:type="spellStart"/>
      <w:r>
        <w:rPr>
          <w:sz w:val="28"/>
          <w:szCs w:val="28"/>
        </w:rPr>
        <w:t>комплаенсу</w:t>
      </w:r>
      <w:proofErr w:type="spellEnd"/>
      <w:r>
        <w:rPr>
          <w:sz w:val="28"/>
          <w:szCs w:val="28"/>
        </w:rPr>
        <w:t>.</w:t>
      </w:r>
    </w:p>
    <w:p w:rsidR="007177C6" w:rsidRDefault="007177C6" w:rsidP="007177C6">
      <w:pPr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Объявлен сбор </w:t>
      </w:r>
      <w:r w:rsidRPr="006D176B">
        <w:rPr>
          <w:sz w:val="28"/>
          <w:szCs w:val="28"/>
        </w:rPr>
        <w:t>замечаний и предложений организаций и граждан по перечню по результатам проведенного анализа правовых актов, направленных на регулирование отношений, связанных с защитой конкуренции, предупреждением и пресечением монополистической деятельности и недобросовестной конкуренции и адресованных неопределенному кругу лиц, которые могут иметь признаки нарушения антимонопольного законодательства</w:t>
      </w:r>
      <w:r w:rsidR="00245E56">
        <w:rPr>
          <w:sz w:val="28"/>
          <w:szCs w:val="28"/>
        </w:rPr>
        <w:t xml:space="preserve"> (с 14 октября по 28 октября 2020</w:t>
      </w:r>
      <w:r>
        <w:rPr>
          <w:sz w:val="28"/>
          <w:szCs w:val="28"/>
        </w:rPr>
        <w:t>).</w:t>
      </w:r>
      <w:proofErr w:type="gramEnd"/>
    </w:p>
    <w:p w:rsidR="007177C6" w:rsidRDefault="007177C6" w:rsidP="007177C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Замечаний и предложений не поступило.</w:t>
      </w:r>
    </w:p>
    <w:p w:rsidR="007177C6" w:rsidRDefault="007177C6" w:rsidP="007177C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анализ НПА проведен администрацией городского округа. Все выявленные несоответствия устранены путем внесения изменений.</w:t>
      </w:r>
    </w:p>
    <w:p w:rsidR="007177C6" w:rsidRDefault="007177C6" w:rsidP="007177C6">
      <w:pPr>
        <w:suppressAutoHyphens/>
        <w:ind w:firstLine="709"/>
        <w:jc w:val="both"/>
        <w:rPr>
          <w:sz w:val="28"/>
          <w:szCs w:val="28"/>
        </w:rPr>
      </w:pPr>
    </w:p>
    <w:p w:rsidR="007177C6" w:rsidRDefault="007177C6" w:rsidP="007177C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Проведен анализ выявленных нарушений антимонопольного законодательства в деятельности администрации городского округа за</w:t>
      </w:r>
      <w:r w:rsidR="00245E56">
        <w:rPr>
          <w:sz w:val="28"/>
          <w:szCs w:val="28"/>
        </w:rPr>
        <w:t xml:space="preserve"> период 2019-2020</w:t>
      </w:r>
      <w:r>
        <w:rPr>
          <w:sz w:val="28"/>
          <w:szCs w:val="28"/>
        </w:rPr>
        <w:t xml:space="preserve"> (наличие предостережений, предупреждений, штрафов, жалоб, возбужденных дел).</w:t>
      </w:r>
    </w:p>
    <w:p w:rsidR="007177C6" w:rsidRDefault="007177C6" w:rsidP="007177C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 целью анализа необходимая информация о выявленных нарушениях антимонопольного законодательства была собрана структурными единицами администрации городского округа.</w:t>
      </w:r>
    </w:p>
    <w:p w:rsidR="007177C6" w:rsidRDefault="007177C6" w:rsidP="007177C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был сделан соответствующий запрос в Федеральную антимонопольную службу по Воронежской области.</w:t>
      </w:r>
    </w:p>
    <w:p w:rsidR="00245E56" w:rsidRDefault="007177C6" w:rsidP="007177C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анализируемом периоде</w:t>
      </w:r>
      <w:r w:rsidR="00245E56">
        <w:rPr>
          <w:sz w:val="28"/>
          <w:szCs w:val="28"/>
        </w:rPr>
        <w:t xml:space="preserve"> в действиях (решениях) администрации городского округа было выявлено 2 нарушения законодательства о защите конкуренции.</w:t>
      </w:r>
    </w:p>
    <w:p w:rsidR="00D56CA9" w:rsidRDefault="007177C6" w:rsidP="007177C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245E56">
        <w:rPr>
          <w:sz w:val="28"/>
          <w:szCs w:val="28"/>
        </w:rPr>
        <w:t>28.10.2019 Воронежским УФАС России было выдано предупреждение по признакам нарушения ст.15 Федерального закона №135-ФЗ «</w:t>
      </w:r>
      <w:proofErr w:type="spellStart"/>
      <w:r w:rsidR="00245E56">
        <w:rPr>
          <w:sz w:val="28"/>
          <w:szCs w:val="28"/>
        </w:rPr>
        <w:t>Озащите</w:t>
      </w:r>
      <w:proofErr w:type="spellEnd"/>
      <w:r w:rsidR="00245E56">
        <w:rPr>
          <w:sz w:val="28"/>
          <w:szCs w:val="28"/>
        </w:rPr>
        <w:t xml:space="preserve"> конкуренции», выразившееся в длительном </w:t>
      </w:r>
      <w:proofErr w:type="spellStart"/>
      <w:r w:rsidR="00245E56">
        <w:rPr>
          <w:sz w:val="28"/>
          <w:szCs w:val="28"/>
        </w:rPr>
        <w:t>непроведении</w:t>
      </w:r>
      <w:proofErr w:type="spellEnd"/>
      <w:r w:rsidR="00245E56">
        <w:rPr>
          <w:sz w:val="28"/>
          <w:szCs w:val="28"/>
        </w:rPr>
        <w:t xml:space="preserve"> торгов по выбору расположенном по ул. Советская,60 в г. Борисоглебске. </w:t>
      </w:r>
      <w:proofErr w:type="gramEnd"/>
      <w:r w:rsidR="00245E56">
        <w:rPr>
          <w:sz w:val="28"/>
          <w:szCs w:val="28"/>
        </w:rPr>
        <w:t>Выявленное нарушение было устран</w:t>
      </w:r>
      <w:r w:rsidR="00D56CA9">
        <w:rPr>
          <w:sz w:val="28"/>
          <w:szCs w:val="28"/>
        </w:rPr>
        <w:t>ено администрацией городского округа в установленный срок: принято постановление о проведение конкурса от 06.11.2019 №3031; информация о конкурсе размещения на официальном сайте 07.11.2019.</w:t>
      </w:r>
    </w:p>
    <w:p w:rsidR="007455FA" w:rsidRDefault="00D56CA9" w:rsidP="007177C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2020 году решением  Воронежского УФАС </w:t>
      </w:r>
      <w:proofErr w:type="spellStart"/>
      <w:r>
        <w:rPr>
          <w:sz w:val="28"/>
          <w:szCs w:val="28"/>
        </w:rPr>
        <w:t>России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ринятого</w:t>
      </w:r>
      <w:proofErr w:type="spellEnd"/>
      <w:r>
        <w:rPr>
          <w:sz w:val="28"/>
          <w:szCs w:val="28"/>
        </w:rPr>
        <w:t xml:space="preserve"> по результатам рассмотрения жалобы ООО «Капля» на действия администрации городского округа при проведении конкурса по продаже права на заключение договора на размещение нестационарного торгового объекта по реализации продовольственных товаров,</w:t>
      </w:r>
      <w:r w:rsidR="007455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 факт нарушения процедуры конкурса в части оценки и сопоставления поданных заявок(неверно дана оценка предложениям по благоустройству). Члены конкурсной комиссии были </w:t>
      </w:r>
      <w:r>
        <w:rPr>
          <w:sz w:val="28"/>
          <w:szCs w:val="28"/>
        </w:rPr>
        <w:lastRenderedPageBreak/>
        <w:t>привлечены к административной ответственности в виде штрафа. Результаты конкурса были пересмотрены с учетом замечаний ФАС.</w:t>
      </w:r>
    </w:p>
    <w:p w:rsidR="007177C6" w:rsidRDefault="00D56CA9" w:rsidP="007455F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77C6" w:rsidRDefault="007177C6" w:rsidP="007177C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городского округа приняты необходимые меры по недопущению в дальнейшем подобных нарушений: разъяснительные мероприятия, усиление контроля со стороны руководства за деятельностью подчиненных лиц. </w:t>
      </w:r>
    </w:p>
    <w:p w:rsidR="007177C6" w:rsidRDefault="007177C6" w:rsidP="007177C6">
      <w:pPr>
        <w:jc w:val="both"/>
        <w:rPr>
          <w:b/>
        </w:rPr>
      </w:pPr>
    </w:p>
    <w:p w:rsidR="007177C6" w:rsidRDefault="007177C6" w:rsidP="007177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4D05">
        <w:rPr>
          <w:sz w:val="28"/>
          <w:szCs w:val="28"/>
        </w:rPr>
        <w:t>В целях сведения к минимуму рисков нарушений</w:t>
      </w:r>
      <w:r>
        <w:rPr>
          <w:sz w:val="28"/>
          <w:szCs w:val="28"/>
        </w:rPr>
        <w:t xml:space="preserve"> и достижения ключевых показателей эффе</w:t>
      </w:r>
      <w:r w:rsidR="007455FA">
        <w:rPr>
          <w:sz w:val="28"/>
          <w:szCs w:val="28"/>
        </w:rPr>
        <w:t>ктивности администрацией  в 2020</w:t>
      </w:r>
      <w:r>
        <w:rPr>
          <w:sz w:val="28"/>
          <w:szCs w:val="28"/>
        </w:rPr>
        <w:t xml:space="preserve"> году были проведены следующие мероприятия:</w:t>
      </w:r>
    </w:p>
    <w:p w:rsidR="007177C6" w:rsidRDefault="007177C6" w:rsidP="007177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обучающие совещания-семинары по антимонопольному законодательству,  ознакомление с </w:t>
      </w:r>
      <w:proofErr w:type="gramStart"/>
      <w:r>
        <w:rPr>
          <w:sz w:val="28"/>
          <w:szCs w:val="28"/>
        </w:rPr>
        <w:t>антимонопольным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комплаенсом</w:t>
      </w:r>
      <w:proofErr w:type="spellEnd"/>
      <w:r>
        <w:rPr>
          <w:sz w:val="28"/>
          <w:szCs w:val="28"/>
        </w:rPr>
        <w:t>, первичные инструктажи (доля сотрудников – 100%);</w:t>
      </w:r>
    </w:p>
    <w:p w:rsidR="007455FA" w:rsidRDefault="007177C6" w:rsidP="007177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</w:t>
      </w:r>
      <w:r w:rsidRPr="006B40EC">
        <w:rPr>
          <w:sz w:val="28"/>
          <w:szCs w:val="28"/>
        </w:rPr>
        <w:t>аправление сотрудников на курсы повышения квалификации</w:t>
      </w:r>
      <w:r>
        <w:rPr>
          <w:sz w:val="28"/>
          <w:szCs w:val="28"/>
        </w:rPr>
        <w:t xml:space="preserve"> (в 2019 году 62 сотрудника из 108, что составляет 57,4%; в 2020 году 48 сотрудников из 105, что составляет 45,7%</w:t>
      </w:r>
      <w:r w:rsidR="007455FA">
        <w:rPr>
          <w:sz w:val="28"/>
          <w:szCs w:val="28"/>
        </w:rPr>
        <w:t>);</w:t>
      </w:r>
    </w:p>
    <w:p w:rsidR="007177C6" w:rsidRPr="006B40EC" w:rsidRDefault="007177C6" w:rsidP="007177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</w:t>
      </w:r>
      <w:r w:rsidRPr="006B40EC">
        <w:rPr>
          <w:sz w:val="28"/>
          <w:szCs w:val="28"/>
        </w:rPr>
        <w:t>овышение уровня контроля со стороны руководителя;</w:t>
      </w:r>
    </w:p>
    <w:p w:rsidR="007177C6" w:rsidRDefault="007177C6" w:rsidP="007177C6">
      <w:pPr>
        <w:jc w:val="both"/>
        <w:rPr>
          <w:sz w:val="28"/>
          <w:szCs w:val="28"/>
        </w:rPr>
      </w:pPr>
      <w:r w:rsidRPr="006B40EC">
        <w:rPr>
          <w:sz w:val="28"/>
          <w:szCs w:val="28"/>
        </w:rPr>
        <w:tab/>
        <w:t xml:space="preserve">4. </w:t>
      </w:r>
      <w:r>
        <w:rPr>
          <w:sz w:val="28"/>
          <w:szCs w:val="28"/>
        </w:rPr>
        <w:t>комиссионное принятие решений;</w:t>
      </w:r>
    </w:p>
    <w:p w:rsidR="007455FA" w:rsidRDefault="007177C6" w:rsidP="007177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 принятие мер по урегулированию конфликта интересов (проведено в 2019 году - 5 заседаний комиссии, в 2020 – 10 заседаний</w:t>
      </w:r>
      <w:r w:rsidR="007455FA">
        <w:rPr>
          <w:sz w:val="28"/>
          <w:szCs w:val="28"/>
        </w:rPr>
        <w:t>);</w:t>
      </w:r>
    </w:p>
    <w:p w:rsidR="007177C6" w:rsidRDefault="007177C6" w:rsidP="007177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эффективное распределение рабочей нагрузки;</w:t>
      </w:r>
    </w:p>
    <w:p w:rsidR="007177C6" w:rsidRDefault="007177C6" w:rsidP="007177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повышение эффективности взаимодействия между структурными подразделениями;</w:t>
      </w:r>
    </w:p>
    <w:p w:rsidR="007177C6" w:rsidRDefault="007177C6" w:rsidP="007177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 повышение качества правовых экспертиз (проведена право</w:t>
      </w:r>
      <w:r w:rsidR="007455FA">
        <w:rPr>
          <w:sz w:val="28"/>
          <w:szCs w:val="28"/>
        </w:rPr>
        <w:t>вая экспертиза в отношении 3 388</w:t>
      </w:r>
      <w:r>
        <w:rPr>
          <w:sz w:val="28"/>
          <w:szCs w:val="28"/>
        </w:rPr>
        <w:t xml:space="preserve"> постановлений адми</w:t>
      </w:r>
      <w:r w:rsidR="007455FA">
        <w:rPr>
          <w:sz w:val="28"/>
          <w:szCs w:val="28"/>
        </w:rPr>
        <w:t xml:space="preserve">нистрации городского округа;  36 проектов решений </w:t>
      </w:r>
      <w:proofErr w:type="spellStart"/>
      <w:r w:rsidR="007455FA">
        <w:rPr>
          <w:sz w:val="28"/>
          <w:szCs w:val="28"/>
        </w:rPr>
        <w:t>гор</w:t>
      </w:r>
      <w:proofErr w:type="gramStart"/>
      <w:r w:rsidR="007455FA">
        <w:rPr>
          <w:sz w:val="28"/>
          <w:szCs w:val="28"/>
        </w:rPr>
        <w:t>.Д</w:t>
      </w:r>
      <w:proofErr w:type="gramEnd"/>
      <w:r w:rsidR="007455FA">
        <w:rPr>
          <w:sz w:val="28"/>
          <w:szCs w:val="28"/>
        </w:rPr>
        <w:t>умы</w:t>
      </w:r>
      <w:proofErr w:type="spellEnd"/>
      <w:r w:rsidR="007455FA">
        <w:rPr>
          <w:sz w:val="28"/>
          <w:szCs w:val="28"/>
        </w:rPr>
        <w:t>; 279</w:t>
      </w:r>
      <w:r>
        <w:rPr>
          <w:sz w:val="28"/>
          <w:szCs w:val="28"/>
        </w:rPr>
        <w:t xml:space="preserve"> распоряжений админ</w:t>
      </w:r>
      <w:r w:rsidR="007455FA">
        <w:rPr>
          <w:sz w:val="28"/>
          <w:szCs w:val="28"/>
        </w:rPr>
        <w:t>истрации городского округа; 1404</w:t>
      </w:r>
      <w:r>
        <w:rPr>
          <w:sz w:val="28"/>
          <w:szCs w:val="28"/>
        </w:rPr>
        <w:t xml:space="preserve"> распоряжений по кадрам адми</w:t>
      </w:r>
      <w:r w:rsidR="007455FA">
        <w:rPr>
          <w:sz w:val="28"/>
          <w:szCs w:val="28"/>
        </w:rPr>
        <w:t>нистрации городского округа; 911</w:t>
      </w:r>
      <w:r>
        <w:rPr>
          <w:sz w:val="28"/>
          <w:szCs w:val="28"/>
        </w:rPr>
        <w:t xml:space="preserve"> проектов договоров, контрактов, соглашений;  </w:t>
      </w: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экс</w:t>
      </w:r>
      <w:r w:rsidR="00EC27BE">
        <w:rPr>
          <w:sz w:val="28"/>
          <w:szCs w:val="28"/>
        </w:rPr>
        <w:t>перт</w:t>
      </w:r>
      <w:r w:rsidR="007455FA">
        <w:rPr>
          <w:sz w:val="28"/>
          <w:szCs w:val="28"/>
        </w:rPr>
        <w:t>иза проведена в отношении 211</w:t>
      </w:r>
      <w:r>
        <w:rPr>
          <w:sz w:val="28"/>
          <w:szCs w:val="28"/>
        </w:rPr>
        <w:t xml:space="preserve"> проектов постановлений адми</w:t>
      </w:r>
      <w:r w:rsidR="007455FA">
        <w:rPr>
          <w:sz w:val="28"/>
          <w:szCs w:val="28"/>
        </w:rPr>
        <w:t>нистрации городского округа и 26</w:t>
      </w:r>
      <w:r>
        <w:rPr>
          <w:sz w:val="28"/>
          <w:szCs w:val="28"/>
        </w:rPr>
        <w:t xml:space="preserve"> решений </w:t>
      </w:r>
      <w:proofErr w:type="spellStart"/>
      <w:r>
        <w:rPr>
          <w:sz w:val="28"/>
          <w:szCs w:val="28"/>
        </w:rPr>
        <w:t>гор.Думы</w:t>
      </w:r>
      <w:proofErr w:type="spellEnd"/>
      <w:r>
        <w:rPr>
          <w:sz w:val="28"/>
          <w:szCs w:val="28"/>
        </w:rPr>
        <w:t>)</w:t>
      </w:r>
    </w:p>
    <w:p w:rsidR="007177C6" w:rsidRDefault="007177C6" w:rsidP="007177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177C6" w:rsidRDefault="007177C6" w:rsidP="007177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Оценка эффективности функционирования антимонопольного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в администрации Борисоглебского городского округа Воронежской области:</w:t>
      </w:r>
    </w:p>
    <w:p w:rsidR="007177C6" w:rsidRDefault="007177C6" w:rsidP="007177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ключевые показатели достигнуты; </w:t>
      </w:r>
    </w:p>
    <w:p w:rsidR="007177C6" w:rsidRDefault="007177C6" w:rsidP="007177C6">
      <w:pPr>
        <w:jc w:val="both"/>
        <w:rPr>
          <w:sz w:val="28"/>
          <w:szCs w:val="28"/>
        </w:rPr>
      </w:pPr>
      <w:r>
        <w:rPr>
          <w:sz w:val="28"/>
          <w:szCs w:val="28"/>
        </w:rPr>
        <w:t>- уровень риска нарушений антимонопольного законодательства определен как низкий, так как отсутствует отрицательное влияние на отношение институтов гражданского общества к  деятельности администрации городского округа, а также вероятность выдачи предупреждений, возбуждения дел о нарушении антимонопольного законодательства, наложения штрафов.</w:t>
      </w:r>
    </w:p>
    <w:p w:rsidR="007177C6" w:rsidRDefault="007177C6" w:rsidP="007177C6">
      <w:pPr>
        <w:jc w:val="both"/>
        <w:rPr>
          <w:sz w:val="28"/>
          <w:szCs w:val="28"/>
        </w:rPr>
      </w:pPr>
    </w:p>
    <w:p w:rsidR="007177C6" w:rsidRDefault="007177C6" w:rsidP="007177C6">
      <w:pPr>
        <w:jc w:val="both"/>
        <w:rPr>
          <w:sz w:val="28"/>
          <w:szCs w:val="28"/>
        </w:rPr>
      </w:pPr>
    </w:p>
    <w:p w:rsidR="007177C6" w:rsidRDefault="007177C6" w:rsidP="007177C6">
      <w:pPr>
        <w:jc w:val="both"/>
        <w:rPr>
          <w:sz w:val="28"/>
          <w:szCs w:val="28"/>
        </w:rPr>
      </w:pPr>
    </w:p>
    <w:p w:rsidR="007177C6" w:rsidRDefault="007177C6" w:rsidP="007177C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А.В.Пищугин</w:t>
      </w:r>
    </w:p>
    <w:p w:rsidR="007177C6" w:rsidRPr="006B40EC" w:rsidRDefault="007177C6" w:rsidP="007177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177C6" w:rsidRDefault="007177C6" w:rsidP="007177C6">
      <w:pPr>
        <w:jc w:val="both"/>
        <w:rPr>
          <w:sz w:val="28"/>
          <w:szCs w:val="28"/>
        </w:rPr>
      </w:pPr>
    </w:p>
    <w:p w:rsidR="007177C6" w:rsidRDefault="007177C6" w:rsidP="007177C6">
      <w:pPr>
        <w:jc w:val="both"/>
        <w:rPr>
          <w:sz w:val="28"/>
          <w:szCs w:val="28"/>
        </w:rPr>
      </w:pPr>
    </w:p>
    <w:p w:rsidR="007177C6" w:rsidRDefault="007177C6" w:rsidP="007177C6">
      <w:pPr>
        <w:jc w:val="both"/>
        <w:rPr>
          <w:sz w:val="28"/>
          <w:szCs w:val="28"/>
        </w:rPr>
      </w:pPr>
    </w:p>
    <w:p w:rsidR="007177C6" w:rsidRDefault="007177C6" w:rsidP="007177C6">
      <w:pPr>
        <w:jc w:val="both"/>
        <w:rPr>
          <w:sz w:val="28"/>
          <w:szCs w:val="28"/>
        </w:rPr>
      </w:pPr>
    </w:p>
    <w:p w:rsidR="007177C6" w:rsidRDefault="007177C6" w:rsidP="007177C6">
      <w:pPr>
        <w:jc w:val="both"/>
        <w:rPr>
          <w:sz w:val="28"/>
          <w:szCs w:val="28"/>
        </w:rPr>
      </w:pPr>
    </w:p>
    <w:p w:rsidR="007177C6" w:rsidRDefault="007177C6" w:rsidP="007177C6">
      <w:pPr>
        <w:jc w:val="both"/>
        <w:rPr>
          <w:sz w:val="20"/>
          <w:szCs w:val="20"/>
        </w:rPr>
      </w:pPr>
    </w:p>
    <w:p w:rsidR="007177C6" w:rsidRDefault="007177C6" w:rsidP="007177C6">
      <w:pPr>
        <w:jc w:val="both"/>
        <w:rPr>
          <w:sz w:val="20"/>
          <w:szCs w:val="20"/>
        </w:rPr>
      </w:pPr>
    </w:p>
    <w:p w:rsidR="007177C6" w:rsidRDefault="007177C6" w:rsidP="007177C6">
      <w:pPr>
        <w:jc w:val="both"/>
        <w:rPr>
          <w:sz w:val="20"/>
          <w:szCs w:val="20"/>
        </w:rPr>
      </w:pPr>
    </w:p>
    <w:p w:rsidR="007177C6" w:rsidRDefault="007177C6" w:rsidP="007177C6">
      <w:pPr>
        <w:jc w:val="both"/>
        <w:rPr>
          <w:sz w:val="20"/>
          <w:szCs w:val="20"/>
        </w:rPr>
      </w:pPr>
    </w:p>
    <w:p w:rsidR="007177C6" w:rsidRDefault="007177C6" w:rsidP="007177C6">
      <w:pPr>
        <w:jc w:val="both"/>
        <w:rPr>
          <w:sz w:val="20"/>
          <w:szCs w:val="20"/>
        </w:rPr>
      </w:pPr>
    </w:p>
    <w:p w:rsidR="007177C6" w:rsidRPr="00414B07" w:rsidRDefault="007177C6" w:rsidP="007177C6">
      <w:pPr>
        <w:jc w:val="both"/>
        <w:rPr>
          <w:sz w:val="20"/>
          <w:szCs w:val="20"/>
        </w:rPr>
      </w:pPr>
    </w:p>
    <w:p w:rsidR="00EA1F5C" w:rsidRDefault="00EA1F5C"/>
    <w:p w:rsidR="003A5654" w:rsidRDefault="003A5654"/>
    <w:p w:rsidR="003A5654" w:rsidRDefault="003A5654"/>
    <w:p w:rsidR="003A5654" w:rsidRDefault="003A5654"/>
    <w:p w:rsidR="003A5654" w:rsidRDefault="003A5654"/>
    <w:p w:rsidR="003A5654" w:rsidRDefault="003A5654"/>
    <w:p w:rsidR="003A5654" w:rsidRDefault="003A5654"/>
    <w:p w:rsidR="003A5654" w:rsidRDefault="003A5654"/>
    <w:p w:rsidR="003A5654" w:rsidRDefault="003A5654"/>
    <w:p w:rsidR="003A5654" w:rsidRDefault="003A5654"/>
    <w:p w:rsidR="003A5654" w:rsidRDefault="003A5654"/>
    <w:p w:rsidR="003A5654" w:rsidRDefault="003A5654"/>
    <w:p w:rsidR="003A5654" w:rsidRPr="003A5654" w:rsidRDefault="003A5654">
      <w:pPr>
        <w:rPr>
          <w:sz w:val="20"/>
          <w:szCs w:val="20"/>
        </w:rPr>
      </w:pPr>
      <w:proofErr w:type="spellStart"/>
      <w:r w:rsidRPr="003A5654">
        <w:rPr>
          <w:sz w:val="20"/>
          <w:szCs w:val="20"/>
        </w:rPr>
        <w:t>Бохонок</w:t>
      </w:r>
      <w:proofErr w:type="spellEnd"/>
    </w:p>
    <w:p w:rsidR="003A5654" w:rsidRPr="003A5654" w:rsidRDefault="003A5654">
      <w:pPr>
        <w:rPr>
          <w:sz w:val="20"/>
          <w:szCs w:val="20"/>
        </w:rPr>
      </w:pPr>
      <w:r w:rsidRPr="003A5654">
        <w:rPr>
          <w:sz w:val="20"/>
          <w:szCs w:val="20"/>
        </w:rPr>
        <w:t>6-15-09</w:t>
      </w:r>
    </w:p>
    <w:sectPr w:rsidR="003A5654" w:rsidRPr="003A5654" w:rsidSect="0056448D">
      <w:pgSz w:w="11906" w:h="16838"/>
      <w:pgMar w:top="1134" w:right="56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7C6"/>
    <w:rsid w:val="00245E56"/>
    <w:rsid w:val="002546E0"/>
    <w:rsid w:val="003A52D4"/>
    <w:rsid w:val="003A5654"/>
    <w:rsid w:val="0056448D"/>
    <w:rsid w:val="005710CA"/>
    <w:rsid w:val="007177C6"/>
    <w:rsid w:val="00726520"/>
    <w:rsid w:val="007455FA"/>
    <w:rsid w:val="00C7676F"/>
    <w:rsid w:val="00D56CA9"/>
    <w:rsid w:val="00EA1F5C"/>
    <w:rsid w:val="00EC2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177C6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177C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1"/>
    <w:basedOn w:val="a"/>
    <w:rsid w:val="007177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Бохонок Екатерина Анатольевна</dc:creator>
  <cp:lastModifiedBy>Pravo2</cp:lastModifiedBy>
  <cp:revision>2</cp:revision>
  <cp:lastPrinted>2022-02-25T08:57:00Z</cp:lastPrinted>
  <dcterms:created xsi:type="dcterms:W3CDTF">2023-02-03T06:16:00Z</dcterms:created>
  <dcterms:modified xsi:type="dcterms:W3CDTF">2023-02-03T06:16:00Z</dcterms:modified>
</cp:coreProperties>
</file>